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7AC8" w:rsidRDefault="00954258">
      <w:pPr>
        <w:rPr>
          <w:sz w:val="28"/>
          <w:szCs w:val="28"/>
        </w:rPr>
      </w:pPr>
      <w:r>
        <w:rPr>
          <w:sz w:val="28"/>
          <w:szCs w:val="28"/>
        </w:rPr>
        <w:t>Development of a digital data acquisition system for fast neutron metrology</w:t>
      </w:r>
    </w:p>
    <w:p w14:paraId="00000002" w14:textId="77777777" w:rsidR="00447AC8" w:rsidRDefault="00447AC8"/>
    <w:p w14:paraId="00000003" w14:textId="77777777" w:rsidR="00447AC8" w:rsidRDefault="00954258">
      <w:pPr>
        <w:rPr>
          <w:sz w:val="20"/>
          <w:szCs w:val="20"/>
        </w:rPr>
      </w:pPr>
      <w:r>
        <w:rPr>
          <w:sz w:val="20"/>
          <w:szCs w:val="20"/>
        </w:rPr>
        <w:t xml:space="preserve">University of Cape Town (UCT): C. Sole, A. </w:t>
      </w:r>
      <w:proofErr w:type="spellStart"/>
      <w:r>
        <w:rPr>
          <w:sz w:val="20"/>
          <w:szCs w:val="20"/>
        </w:rPr>
        <w:t>Buffler</w:t>
      </w:r>
      <w:proofErr w:type="spellEnd"/>
      <w:r>
        <w:rPr>
          <w:sz w:val="20"/>
          <w:szCs w:val="20"/>
        </w:rPr>
        <w:t>, T. Hutton, T. Leadbeater</w:t>
      </w:r>
    </w:p>
    <w:p w14:paraId="00000004" w14:textId="77777777" w:rsidR="00447AC8" w:rsidRDefault="0095425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Institut</w:t>
      </w:r>
      <w:proofErr w:type="spellEnd"/>
      <w:r>
        <w:rPr>
          <w:sz w:val="20"/>
          <w:szCs w:val="20"/>
        </w:rPr>
        <w:t xml:space="preserve"> de radioprotection et de </w:t>
      </w:r>
      <w:proofErr w:type="spellStart"/>
      <w:r>
        <w:rPr>
          <w:sz w:val="20"/>
          <w:szCs w:val="20"/>
        </w:rPr>
        <w:t>sûreté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nucléaire</w:t>
      </w:r>
      <w:proofErr w:type="spellEnd"/>
      <w:r>
        <w:rPr>
          <w:sz w:val="20"/>
          <w:szCs w:val="20"/>
        </w:rPr>
        <w:t xml:space="preserve"> (IRSN): V. </w:t>
      </w:r>
      <w:proofErr w:type="spellStart"/>
      <w:r>
        <w:rPr>
          <w:sz w:val="20"/>
          <w:szCs w:val="20"/>
        </w:rPr>
        <w:t>Gressier</w:t>
      </w:r>
      <w:proofErr w:type="spellEnd"/>
      <w:r>
        <w:rPr>
          <w:sz w:val="20"/>
          <w:szCs w:val="20"/>
        </w:rPr>
        <w:t xml:space="preserve">, R. </w:t>
      </w:r>
      <w:proofErr w:type="spellStart"/>
      <w:r>
        <w:rPr>
          <w:sz w:val="20"/>
          <w:szCs w:val="20"/>
        </w:rPr>
        <w:t>Babut</w:t>
      </w:r>
      <w:proofErr w:type="spellEnd"/>
      <w:r>
        <w:rPr>
          <w:sz w:val="20"/>
          <w:szCs w:val="20"/>
        </w:rPr>
        <w:t>, M. Petit</w:t>
      </w:r>
    </w:p>
    <w:p w14:paraId="00000005" w14:textId="77777777" w:rsidR="00447AC8" w:rsidRDefault="00447AC8"/>
    <w:p w14:paraId="00000007" w14:textId="112DFB4B" w:rsidR="00447AC8" w:rsidRDefault="00954258">
      <w:r>
        <w:t>Fast neutron fields are found in a wide variety of contexts, for example at accelerator and medical radiation facilities, around nuclear power plants, in aviation a</w:t>
      </w:r>
      <w:r>
        <w:t>nd space flight. The essence of neutron metrology is to quantify both the fluence and energy distribution</w:t>
      </w:r>
      <w:r>
        <w:t xml:space="preserve"> of these fields, which is complicated by the large range of energies, intensities and directional characteristics in each unique scenario [1]. Neutron metrology an</w:t>
      </w:r>
      <w:r>
        <w:t xml:space="preserve">d spectrometry communities are beginning to adopt modern digital pulse processing systems to complement, and eventually replace, the existing analogue data acquisition systems [1,2]. </w:t>
      </w:r>
    </w:p>
    <w:p w14:paraId="3451347A" w14:textId="77777777" w:rsidR="00954258" w:rsidRDefault="00954258" w:rsidP="00FC23EE"/>
    <w:p w14:paraId="1A957B04" w14:textId="54F5296F" w:rsidR="00FC23EE" w:rsidRDefault="00954258" w:rsidP="00FC23EE">
      <w:r>
        <w:t xml:space="preserve">Digital pulse processing electronics offer several distinct advantages over the existing analogue systems, with a need to rigorously benchmark against the current metrology standards prior to deployment [3]. </w:t>
      </w:r>
      <w:r w:rsidR="00FC23EE">
        <w:t>Measurements were made using a BC-501A scintillator detector for neutron fields with energies between 1.2 MeV and 20.0 MeV over the full range of available beam currents at the AMANDE fast neutron metrology facility [4] at the IRSN</w:t>
      </w:r>
      <w:r w:rsidR="00FC23EE">
        <w:t>. Comparisons were made between t</w:t>
      </w:r>
      <w:r>
        <w:t>he</w:t>
      </w:r>
      <w:r w:rsidR="00FC23EE">
        <w:t xml:space="preserve"> AMANDE</w:t>
      </w:r>
      <w:r>
        <w:t xml:space="preserve"> standard analogue data acquisition system</w:t>
      </w:r>
      <w:r>
        <w:t xml:space="preserve">, </w:t>
      </w:r>
      <w:r w:rsidR="00FC23EE">
        <w:t>and</w:t>
      </w:r>
      <w:r>
        <w:t xml:space="preserve"> </w:t>
      </w:r>
      <w:r>
        <w:t xml:space="preserve">a new digital system comprised of a CAEN DT5730 digitizer and the open source </w:t>
      </w:r>
      <w:proofErr w:type="spellStart"/>
      <w:r>
        <w:t>QtDAQ</w:t>
      </w:r>
      <w:proofErr w:type="spellEnd"/>
      <w:r>
        <w:t xml:space="preserve"> software [</w:t>
      </w:r>
      <w:r w:rsidR="00993A17">
        <w:t>5</w:t>
      </w:r>
      <w:r>
        <w:t xml:space="preserve">]. </w:t>
      </w:r>
      <w:r w:rsidR="00FC23EE">
        <w:t>An overview of the comparison</w:t>
      </w:r>
      <w:r>
        <w:t xml:space="preserve"> will be presented, with a focus on the definition of the digital light output parameter, and dead time effects. Based on these measurements, recommendations will be made for implementing a </w:t>
      </w:r>
      <w:r w:rsidR="00FC23EE" w:rsidRPr="00006512">
        <w:t>fully digital</w:t>
      </w:r>
      <w:r>
        <w:t xml:space="preserve"> data</w:t>
      </w:r>
      <w:r w:rsidR="00FC23EE" w:rsidRPr="00006512">
        <w:t xml:space="preserve"> acquisition system </w:t>
      </w:r>
      <w:r>
        <w:t>for fast neutron metrology</w:t>
      </w:r>
      <w:r w:rsidR="00FC23EE" w:rsidRPr="00006512">
        <w:t>.</w:t>
      </w:r>
    </w:p>
    <w:p w14:paraId="739D031F" w14:textId="77777777" w:rsidR="00FC23EE" w:rsidRDefault="00FC23EE" w:rsidP="00FC23EE"/>
    <w:p w14:paraId="0000000B" w14:textId="77777777" w:rsidR="00447AC8" w:rsidRPr="00993A17" w:rsidRDefault="00954258">
      <w:pPr>
        <w:rPr>
          <w:color w:val="000000" w:themeColor="text1"/>
        </w:rPr>
      </w:pPr>
      <w:r w:rsidRPr="00993A17">
        <w:rPr>
          <w:color w:val="000000" w:themeColor="text1"/>
        </w:rPr>
        <w:t xml:space="preserve">[1] D. Thomas </w:t>
      </w:r>
      <w:r w:rsidRPr="00993A17">
        <w:rPr>
          <w:i/>
          <w:color w:val="000000" w:themeColor="text1"/>
        </w:rPr>
        <w:t>et al.</w:t>
      </w:r>
      <w:r w:rsidRPr="00993A17">
        <w:rPr>
          <w:color w:val="000000" w:themeColor="text1"/>
        </w:rPr>
        <w:t xml:space="preserve"> (2011) </w:t>
      </w:r>
      <w:proofErr w:type="spellStart"/>
      <w:r w:rsidRPr="00993A17">
        <w:rPr>
          <w:i/>
          <w:color w:val="000000" w:themeColor="text1"/>
        </w:rPr>
        <w:t>Metrologia</w:t>
      </w:r>
      <w:proofErr w:type="spellEnd"/>
      <w:r w:rsidRPr="00993A17">
        <w:rPr>
          <w:color w:val="000000" w:themeColor="text1"/>
        </w:rPr>
        <w:t xml:space="preserve"> </w:t>
      </w:r>
      <w:r w:rsidRPr="00993A17">
        <w:rPr>
          <w:b/>
          <w:color w:val="000000" w:themeColor="text1"/>
        </w:rPr>
        <w:t>48</w:t>
      </w:r>
      <w:r w:rsidRPr="00993A17">
        <w:rPr>
          <w:color w:val="000000" w:themeColor="text1"/>
        </w:rPr>
        <w:t xml:space="preserve"> </w:t>
      </w:r>
      <w:r w:rsidRPr="00993A17">
        <w:rPr>
          <w:color w:val="000000" w:themeColor="text1"/>
        </w:rPr>
        <w:t>S225.</w:t>
      </w:r>
    </w:p>
    <w:p w14:paraId="019B963C" w14:textId="77777777" w:rsidR="00993A17" w:rsidRDefault="00954258" w:rsidP="00993A17">
      <w:pPr>
        <w:rPr>
          <w:color w:val="000000" w:themeColor="text1"/>
        </w:rPr>
      </w:pPr>
      <w:r w:rsidRPr="00993A17">
        <w:rPr>
          <w:color w:val="000000" w:themeColor="text1"/>
        </w:rPr>
        <w:t xml:space="preserve">[2] V. Fedorov </w:t>
      </w:r>
      <w:r w:rsidRPr="00993A17">
        <w:rPr>
          <w:i/>
          <w:color w:val="000000" w:themeColor="text1"/>
        </w:rPr>
        <w:t>et al.</w:t>
      </w:r>
      <w:r w:rsidRPr="00993A17">
        <w:rPr>
          <w:color w:val="000000" w:themeColor="text1"/>
        </w:rPr>
        <w:t xml:space="preserve"> (</w:t>
      </w:r>
      <w:r w:rsidRPr="00993A17">
        <w:rPr>
          <w:color w:val="000000" w:themeColor="text1"/>
        </w:rPr>
        <w:t xml:space="preserve">2018) </w:t>
      </w:r>
      <w:r w:rsidRPr="00993A17">
        <w:rPr>
          <w:i/>
          <w:color w:val="000000" w:themeColor="text1"/>
        </w:rPr>
        <w:t>EPJ Web of Conferences.</w:t>
      </w:r>
      <w:r w:rsidRPr="00993A17">
        <w:rPr>
          <w:color w:val="000000" w:themeColor="text1"/>
        </w:rPr>
        <w:t xml:space="preserve"> </w:t>
      </w:r>
      <w:r w:rsidRPr="00993A17">
        <w:rPr>
          <w:b/>
          <w:color w:val="000000" w:themeColor="text1"/>
        </w:rPr>
        <w:t>170</w:t>
      </w:r>
      <w:r w:rsidRPr="00993A17">
        <w:rPr>
          <w:color w:val="000000" w:themeColor="text1"/>
        </w:rPr>
        <w:t xml:space="preserve"> 02005.</w:t>
      </w:r>
    </w:p>
    <w:p w14:paraId="6CFAD133" w14:textId="2C52DAAB" w:rsidR="00993A17" w:rsidRDefault="00954258" w:rsidP="00993A17">
      <w:pPr>
        <w:rPr>
          <w:color w:val="000000" w:themeColor="text1"/>
        </w:rPr>
      </w:pPr>
      <w:r w:rsidRPr="00993A17">
        <w:rPr>
          <w:color w:val="000000" w:themeColor="text1"/>
        </w:rPr>
        <w:t xml:space="preserve">[3] A. </w:t>
      </w:r>
      <w:proofErr w:type="spellStart"/>
      <w:r w:rsidRPr="00993A17">
        <w:rPr>
          <w:color w:val="000000" w:themeColor="text1"/>
        </w:rPr>
        <w:t>Buffler</w:t>
      </w:r>
      <w:proofErr w:type="spellEnd"/>
      <w:r w:rsidRPr="00993A17">
        <w:rPr>
          <w:color w:val="000000" w:themeColor="text1"/>
        </w:rPr>
        <w:t xml:space="preserve"> </w:t>
      </w:r>
      <w:r w:rsidRPr="00993A17">
        <w:rPr>
          <w:i/>
          <w:color w:val="000000" w:themeColor="text1"/>
        </w:rPr>
        <w:t>et al.</w:t>
      </w:r>
      <w:r w:rsidRPr="00993A17">
        <w:rPr>
          <w:color w:val="000000" w:themeColor="text1"/>
        </w:rPr>
        <w:t xml:space="preserve"> (2016) </w:t>
      </w:r>
      <w:r w:rsidRPr="00993A17">
        <w:rPr>
          <w:i/>
          <w:color w:val="000000" w:themeColor="text1"/>
        </w:rPr>
        <w:t>Int. J. Mod. Phys</w:t>
      </w:r>
      <w:r w:rsidRPr="00993A17">
        <w:rPr>
          <w:color w:val="000000" w:themeColor="text1"/>
        </w:rPr>
        <w:t xml:space="preserve">. </w:t>
      </w:r>
      <w:r w:rsidRPr="00993A17">
        <w:rPr>
          <w:b/>
          <w:color w:val="000000" w:themeColor="text1"/>
        </w:rPr>
        <w:t>44</w:t>
      </w:r>
      <w:r w:rsidRPr="00993A17">
        <w:rPr>
          <w:color w:val="000000" w:themeColor="text1"/>
        </w:rPr>
        <w:t xml:space="preserve"> 1660228. </w:t>
      </w:r>
    </w:p>
    <w:p w14:paraId="5803043D" w14:textId="39A6F580" w:rsidR="00993A17" w:rsidRPr="00993A17" w:rsidRDefault="00993A17" w:rsidP="00993A17">
      <w:pPr>
        <w:rPr>
          <w:color w:val="000000" w:themeColor="text1"/>
        </w:rPr>
      </w:pPr>
      <w:r w:rsidRPr="00993A17">
        <w:rPr>
          <w:color w:val="000000" w:themeColor="text1"/>
        </w:rPr>
        <w:t>[</w:t>
      </w:r>
      <w:r>
        <w:rPr>
          <w:color w:val="000000" w:themeColor="text1"/>
        </w:rPr>
        <w:t>4</w:t>
      </w:r>
      <w:r w:rsidRPr="00993A17">
        <w:rPr>
          <w:color w:val="000000" w:themeColor="text1"/>
        </w:rPr>
        <w:t xml:space="preserve">] V. </w:t>
      </w:r>
      <w:proofErr w:type="spellStart"/>
      <w:r w:rsidRPr="00993A17">
        <w:rPr>
          <w:color w:val="000000" w:themeColor="text1"/>
        </w:rPr>
        <w:t>Gressier</w:t>
      </w:r>
      <w:proofErr w:type="spellEnd"/>
      <w:r w:rsidRPr="00993A17">
        <w:rPr>
          <w:color w:val="000000" w:themeColor="text1"/>
        </w:rPr>
        <w:t xml:space="preserve"> </w:t>
      </w:r>
      <w:r w:rsidRPr="00993A17">
        <w:rPr>
          <w:i/>
          <w:color w:val="000000" w:themeColor="text1"/>
        </w:rPr>
        <w:t>et al</w:t>
      </w:r>
      <w:r w:rsidRPr="00993A17">
        <w:rPr>
          <w:color w:val="000000" w:themeColor="text1"/>
        </w:rPr>
        <w:t xml:space="preserve">. (2004) </w:t>
      </w:r>
      <w:r w:rsidRPr="00993A17">
        <w:rPr>
          <w:i/>
          <w:color w:val="000000" w:themeColor="text1"/>
        </w:rPr>
        <w:t>Rad. Prot. Dos.</w:t>
      </w:r>
      <w:r w:rsidRPr="00993A17">
        <w:rPr>
          <w:color w:val="000000" w:themeColor="text1"/>
        </w:rPr>
        <w:t xml:space="preserve"> </w:t>
      </w:r>
      <w:r w:rsidRPr="00993A17">
        <w:rPr>
          <w:b/>
          <w:color w:val="000000" w:themeColor="text1"/>
        </w:rPr>
        <w:t>110</w:t>
      </w:r>
      <w:r w:rsidRPr="00993A17">
        <w:rPr>
          <w:color w:val="000000" w:themeColor="text1"/>
        </w:rPr>
        <w:t xml:space="preserve"> 49.</w:t>
      </w:r>
    </w:p>
    <w:p w14:paraId="0000000E" w14:textId="35C93ABB" w:rsidR="00447AC8" w:rsidRPr="00993A17" w:rsidRDefault="00954258" w:rsidP="00993A17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993A17">
        <w:rPr>
          <w:color w:val="000000" w:themeColor="text1"/>
        </w:rPr>
        <w:t>[</w:t>
      </w:r>
      <w:r w:rsidR="00993A17">
        <w:rPr>
          <w:color w:val="000000" w:themeColor="text1"/>
        </w:rPr>
        <w:t>5</w:t>
      </w:r>
      <w:r w:rsidRPr="00993A17">
        <w:rPr>
          <w:color w:val="000000" w:themeColor="text1"/>
        </w:rPr>
        <w:t xml:space="preserve">] A. Comrie </w:t>
      </w:r>
      <w:r w:rsidRPr="00993A17">
        <w:rPr>
          <w:i/>
          <w:color w:val="000000" w:themeColor="text1"/>
        </w:rPr>
        <w:t>et al</w:t>
      </w:r>
      <w:r w:rsidRPr="00993A17">
        <w:rPr>
          <w:color w:val="000000" w:themeColor="text1"/>
        </w:rPr>
        <w:t xml:space="preserve">. (2015) </w:t>
      </w:r>
      <w:r w:rsidRPr="00993A17">
        <w:rPr>
          <w:i/>
          <w:color w:val="000000" w:themeColor="text1"/>
        </w:rPr>
        <w:t>NIMA</w:t>
      </w:r>
      <w:r w:rsidRPr="00993A17">
        <w:rPr>
          <w:color w:val="000000" w:themeColor="text1"/>
        </w:rPr>
        <w:t xml:space="preserve"> </w:t>
      </w:r>
      <w:r w:rsidRPr="00993A17">
        <w:rPr>
          <w:b/>
          <w:color w:val="000000" w:themeColor="text1"/>
        </w:rPr>
        <w:t>772</w:t>
      </w:r>
      <w:r w:rsidRPr="00993A17">
        <w:rPr>
          <w:color w:val="000000" w:themeColor="text1"/>
        </w:rPr>
        <w:t xml:space="preserve"> 43. </w:t>
      </w:r>
    </w:p>
    <w:p w14:paraId="00000010" w14:textId="77777777" w:rsidR="00447AC8" w:rsidRDefault="00447AC8">
      <w:pPr>
        <w:spacing w:line="360" w:lineRule="auto"/>
        <w:ind w:left="851" w:hanging="873"/>
        <w:jc w:val="both"/>
        <w:rPr>
          <w:rFonts w:ascii="Calibri" w:eastAsia="Calibri" w:hAnsi="Calibri" w:cs="Calibri"/>
        </w:rPr>
      </w:pPr>
    </w:p>
    <w:p w14:paraId="00000011" w14:textId="77777777" w:rsidR="00447AC8" w:rsidRDefault="00447AC8"/>
    <w:sectPr w:rsidR="00447A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C8"/>
    <w:rsid w:val="00447AC8"/>
    <w:rsid w:val="00954258"/>
    <w:rsid w:val="00993A17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19E4B"/>
  <w15:docId w15:val="{9B17640D-5663-AD4A-A8A2-8B94E95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0MGGjxTMP/reSOwy+6zMJWSULA==">AMUW2mXpb8Mazzde9n6s2ff5Q9kZT/nd8LSzBd//Fexc13vcL6aKUihJLEAtrxcEIx1ytAk08pfkjUx+EDWLPOKKGGaGEG0p4F9A7JqTzOfDyTFVqWD01Gk=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Hutton</cp:lastModifiedBy>
  <cp:revision>2</cp:revision>
  <dcterms:created xsi:type="dcterms:W3CDTF">2021-07-05T09:23:00Z</dcterms:created>
  <dcterms:modified xsi:type="dcterms:W3CDTF">2021-07-05T09:23:00Z</dcterms:modified>
</cp:coreProperties>
</file>