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72" w:rsidRDefault="006268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MR12" w:hAnsi="Times New Roman" w:cs="Times New Roman"/>
          <w:b/>
          <w:bCs/>
          <w:sz w:val="28"/>
          <w:szCs w:val="28"/>
        </w:rPr>
        <w:t xml:space="preserve">Structural Evolution and </w:t>
      </w:r>
      <w:proofErr w:type="spellStart"/>
      <w:r>
        <w:rPr>
          <w:rFonts w:ascii="Times New Roman" w:eastAsia="CMR12" w:hAnsi="Times New Roman" w:cs="Times New Roman"/>
          <w:b/>
          <w:bCs/>
          <w:sz w:val="28"/>
          <w:szCs w:val="28"/>
        </w:rPr>
        <w:t>Octupole</w:t>
      </w:r>
      <w:proofErr w:type="spellEnd"/>
      <w:r>
        <w:rPr>
          <w:rFonts w:ascii="Times New Roman" w:eastAsia="CMR12" w:hAnsi="Times New Roman" w:cs="Times New Roman"/>
          <w:b/>
          <w:bCs/>
          <w:sz w:val="28"/>
          <w:szCs w:val="28"/>
        </w:rPr>
        <w:t xml:space="preserve"> Correlations in Transitional Nuclei</w:t>
      </w:r>
    </w:p>
    <w:p w:rsidR="00FD2072" w:rsidRDefault="0062686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MR12" w:hAnsi="Times New Roman" w:cs="Times New Roman"/>
          <w:sz w:val="28"/>
          <w:szCs w:val="28"/>
        </w:rPr>
        <w:t>Sutanu</w:t>
      </w:r>
      <w:proofErr w:type="spellEnd"/>
      <w:r>
        <w:rPr>
          <w:rFonts w:ascii="Times New Roman" w:eastAsia="CMR12" w:hAnsi="Times New Roman" w:cs="Times New Roman"/>
          <w:sz w:val="28"/>
          <w:szCs w:val="28"/>
        </w:rPr>
        <w:t xml:space="preserve"> Bhattacharya</w:t>
      </w:r>
    </w:p>
    <w:p w:rsidR="00FD2072" w:rsidRDefault="00BB37A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MR12" w:hAnsi="Times New Roman" w:cs="Times New Roman"/>
          <w:sz w:val="28"/>
          <w:szCs w:val="28"/>
        </w:rPr>
        <w:t xml:space="preserve">Guru </w:t>
      </w:r>
      <w:proofErr w:type="spellStart"/>
      <w:r>
        <w:rPr>
          <w:rFonts w:ascii="Times New Roman" w:eastAsia="CMR12" w:hAnsi="Times New Roman" w:cs="Times New Roman"/>
          <w:sz w:val="28"/>
          <w:szCs w:val="28"/>
        </w:rPr>
        <w:t>Ghasidas</w:t>
      </w:r>
      <w:proofErr w:type="spellEnd"/>
      <w:r w:rsidR="00626865">
        <w:rPr>
          <w:rFonts w:ascii="Times New Roman" w:eastAsia="CMR12" w:hAnsi="Times New Roman" w:cs="Times New Roman"/>
          <w:sz w:val="28"/>
          <w:szCs w:val="28"/>
        </w:rPr>
        <w:t xml:space="preserve"> </w:t>
      </w:r>
      <w:proofErr w:type="spellStart"/>
      <w:r w:rsidR="00626865">
        <w:rPr>
          <w:rFonts w:ascii="Times New Roman" w:eastAsia="CMR12" w:hAnsi="Times New Roman" w:cs="Times New Roman"/>
          <w:sz w:val="28"/>
          <w:szCs w:val="28"/>
        </w:rPr>
        <w:t>Viswavidyalaya</w:t>
      </w:r>
      <w:proofErr w:type="spellEnd"/>
      <w:r w:rsidR="00626865">
        <w:rPr>
          <w:rFonts w:ascii="Times New Roman" w:eastAsia="CMR12" w:hAnsi="Times New Roman" w:cs="Times New Roman"/>
          <w:sz w:val="28"/>
          <w:szCs w:val="28"/>
        </w:rPr>
        <w:t xml:space="preserve">, </w:t>
      </w:r>
      <w:proofErr w:type="spellStart"/>
      <w:r w:rsidR="00626865">
        <w:rPr>
          <w:rFonts w:ascii="Times New Roman" w:eastAsia="CMR12" w:hAnsi="Times New Roman" w:cs="Times New Roman"/>
          <w:sz w:val="28"/>
          <w:szCs w:val="28"/>
        </w:rPr>
        <w:t>Bilaspur</w:t>
      </w:r>
      <w:proofErr w:type="spellEnd"/>
      <w:r>
        <w:rPr>
          <w:rFonts w:ascii="Times New Roman" w:eastAsia="CMR12" w:hAnsi="Times New Roman" w:cs="Times New Roman"/>
          <w:sz w:val="28"/>
          <w:szCs w:val="28"/>
        </w:rPr>
        <w:t>, India</w:t>
      </w:r>
    </w:p>
    <w:p w:rsidR="00FD2072" w:rsidRDefault="00FD2072">
      <w:pPr>
        <w:spacing w:line="360" w:lineRule="auto"/>
        <w:jc w:val="both"/>
        <w:rPr>
          <w:rFonts w:ascii="Times New Roman" w:eastAsia="CMR12" w:hAnsi="Times New Roman" w:cs="Times New Roman"/>
          <w:b/>
          <w:u w:val="single"/>
        </w:rPr>
      </w:pPr>
    </w:p>
    <w:p w:rsidR="00FD2072" w:rsidRDefault="00626865">
      <w:pPr>
        <w:spacing w:line="360" w:lineRule="auto"/>
        <w:jc w:val="both"/>
      </w:pPr>
      <w:r>
        <w:rPr>
          <w:rFonts w:ascii="Times New Roman" w:eastAsia="CMR12" w:hAnsi="Times New Roman" w:cs="Times New Roman"/>
          <w:b/>
          <w:u w:val="single"/>
        </w:rPr>
        <w:t>Abstract:</w:t>
      </w:r>
    </w:p>
    <w:p w:rsidR="00FD2072" w:rsidRDefault="00FD2072">
      <w:pPr>
        <w:spacing w:line="360" w:lineRule="auto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FD2072" w:rsidRDefault="00626865">
      <w:pPr>
        <w:pStyle w:val="BodyText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0E101A"/>
          <w:lang w:eastAsia="en-US" w:bidi="ar-SA"/>
        </w:rPr>
        <w:t>The atomic nucleus is a fundamental and unique laboratory of nature for investigating the relationships among the fundamental symmetries. Exploring the relations between these symmetries is one of the major objectives of present-day researches. The nucleon</w:t>
      </w:r>
      <w:r>
        <w:rPr>
          <w:rFonts w:ascii="Times New Roman" w:eastAsia="Times New Roman" w:hAnsi="Times New Roman" w:cs="Times New Roman"/>
          <w:color w:val="0E101A"/>
          <w:lang w:eastAsia="en-US" w:bidi="ar-SA"/>
        </w:rPr>
        <w:t xml:space="preserve">-nucleon interactions inside the nucleus play a crucial role in the occurrence of various exotic phenomena like shape coexistence, </w:t>
      </w:r>
      <w:r w:rsidRPr="00626865">
        <w:rPr>
          <w:rFonts w:ascii="Times New Roman" w:eastAsia="Times New Roman" w:hAnsi="Times New Roman" w:cs="Times New Roman"/>
          <w:i/>
          <w:color w:val="0E101A"/>
          <w:lang w:eastAsia="en-US" w:bidi="ar-SA"/>
        </w:rPr>
        <w:t>γ-</w:t>
      </w:r>
      <w:r>
        <w:rPr>
          <w:rFonts w:ascii="Times New Roman" w:eastAsia="Times New Roman" w:hAnsi="Times New Roman" w:cs="Times New Roman"/>
          <w:color w:val="0E101A"/>
          <w:lang w:eastAsia="en-US" w:bidi="ar-SA"/>
        </w:rPr>
        <w:t xml:space="preserve">vibrational band, multi-phonon bands, back-bending, </w:t>
      </w:r>
      <w:proofErr w:type="spellStart"/>
      <w:r>
        <w:rPr>
          <w:rFonts w:ascii="Times New Roman" w:eastAsia="Times New Roman" w:hAnsi="Times New Roman" w:cs="Times New Roman"/>
          <w:color w:val="0E101A"/>
          <w:lang w:eastAsia="en-US" w:bidi="ar-SA"/>
        </w:rPr>
        <w:t>octupole</w:t>
      </w:r>
      <w:proofErr w:type="spellEnd"/>
      <w:r>
        <w:rPr>
          <w:rFonts w:ascii="Times New Roman" w:eastAsia="Times New Roman" w:hAnsi="Times New Roman" w:cs="Times New Roman"/>
          <w:color w:val="0E101A"/>
          <w:lang w:eastAsia="en-US" w:bidi="ar-SA"/>
        </w:rPr>
        <w:t xml:space="preserve"> vibration, </w:t>
      </w:r>
      <w:proofErr w:type="spellStart"/>
      <w:r>
        <w:rPr>
          <w:rFonts w:ascii="Times New Roman" w:eastAsia="Times New Roman" w:hAnsi="Times New Roman" w:cs="Times New Roman"/>
          <w:color w:val="0E101A"/>
          <w:lang w:eastAsia="en-US" w:bidi="ar-SA"/>
        </w:rPr>
        <w:t>octupole</w:t>
      </w:r>
      <w:proofErr w:type="spellEnd"/>
      <w:r>
        <w:rPr>
          <w:rFonts w:ascii="Times New Roman" w:eastAsia="Times New Roman" w:hAnsi="Times New Roman" w:cs="Times New Roman"/>
          <w:color w:val="0E101A"/>
          <w:lang w:eastAsia="en-US" w:bidi="ar-SA"/>
        </w:rPr>
        <w:t xml:space="preserve"> deformation, band termination, etc. Due to</w:t>
      </w:r>
      <w:r>
        <w:rPr>
          <w:rFonts w:ascii="Times New Roman" w:eastAsia="Times New Roman" w:hAnsi="Times New Roman" w:cs="Times New Roman"/>
          <w:color w:val="0E101A"/>
          <w:lang w:eastAsia="en-US" w:bidi="ar-SA"/>
        </w:rPr>
        <w:t xml:space="preserve"> advancements in detection systems like high-resolution gamma detector arrays with large efficiency, it is now possible to study these exotic features exhibited by atomic nucleus. Recently, the high-spin states of the </w:t>
      </w:r>
      <w:r>
        <w:rPr>
          <w:rFonts w:ascii="Times New Roman" w:eastAsia="Times New Roman" w:hAnsi="Times New Roman" w:cs="Times New Roman"/>
          <w:i/>
          <w:iCs/>
          <w:color w:val="0E101A"/>
          <w:vertAlign w:val="superscript"/>
          <w:lang w:eastAsia="en-US" w:bidi="ar-SA"/>
        </w:rPr>
        <w:t>73</w:t>
      </w:r>
      <w:r>
        <w:rPr>
          <w:rFonts w:ascii="Times New Roman" w:eastAsia="Times New Roman" w:hAnsi="Times New Roman" w:cs="Times New Roman"/>
          <w:i/>
          <w:iCs/>
          <w:color w:val="0E101A"/>
          <w:lang w:eastAsia="en-US" w:bidi="ar-SA"/>
        </w:rPr>
        <w:t>Br</w:t>
      </w:r>
      <w:r>
        <w:rPr>
          <w:rFonts w:ascii="Times New Roman" w:eastAsia="Times New Roman" w:hAnsi="Times New Roman" w:cs="Times New Roman"/>
          <w:color w:val="0E101A"/>
          <w:lang w:eastAsia="en-US" w:bidi="ar-SA"/>
        </w:rPr>
        <w:t xml:space="preserve"> nucleus have been populated via t</w:t>
      </w:r>
      <w:r>
        <w:rPr>
          <w:rFonts w:ascii="Times New Roman" w:eastAsia="Times New Roman" w:hAnsi="Times New Roman" w:cs="Times New Roman"/>
          <w:color w:val="0E101A"/>
          <w:lang w:eastAsia="en-US" w:bidi="ar-SA"/>
        </w:rPr>
        <w:t xml:space="preserve">he </w:t>
      </w:r>
      <w:r>
        <w:rPr>
          <w:rFonts w:ascii="Times New Roman" w:eastAsia="Times New Roman" w:hAnsi="Times New Roman" w:cs="Times New Roman"/>
          <w:i/>
          <w:iCs/>
          <w:color w:val="0E101A"/>
          <w:vertAlign w:val="superscript"/>
          <w:lang w:eastAsia="en-US" w:bidi="ar-SA"/>
        </w:rPr>
        <w:t>50</w:t>
      </w:r>
      <w:proofErr w:type="gramStart"/>
      <w:r>
        <w:rPr>
          <w:rFonts w:ascii="Times New Roman" w:eastAsia="Times New Roman" w:hAnsi="Times New Roman" w:cs="Times New Roman"/>
          <w:i/>
          <w:iCs/>
          <w:color w:val="0E101A"/>
          <w:lang w:eastAsia="en-US" w:bidi="ar-SA"/>
        </w:rPr>
        <w:t>Cr(</w:t>
      </w:r>
      <w:proofErr w:type="gramEnd"/>
      <w:r>
        <w:rPr>
          <w:rFonts w:ascii="Times New Roman" w:eastAsia="Times New Roman" w:hAnsi="Times New Roman" w:cs="Times New Roman"/>
          <w:i/>
          <w:iCs/>
          <w:color w:val="0E101A"/>
          <w:vertAlign w:val="superscript"/>
          <w:lang w:eastAsia="en-US" w:bidi="ar-SA"/>
        </w:rPr>
        <w:t>28</w:t>
      </w:r>
      <w:r>
        <w:rPr>
          <w:rFonts w:ascii="Times New Roman" w:eastAsia="Times New Roman" w:hAnsi="Times New Roman" w:cs="Times New Roman"/>
          <w:i/>
          <w:iCs/>
          <w:color w:val="0E101A"/>
          <w:lang w:eastAsia="en-US" w:bidi="ar-SA"/>
        </w:rPr>
        <w:t>Si, αp)</w:t>
      </w:r>
      <w:r>
        <w:rPr>
          <w:rFonts w:ascii="Times New Roman" w:eastAsia="Times New Roman" w:hAnsi="Times New Roman" w:cs="Times New Roman"/>
          <w:i/>
          <w:iCs/>
          <w:color w:val="0E101A"/>
          <w:vertAlign w:val="superscript"/>
          <w:lang w:eastAsia="en-US" w:bidi="ar-SA"/>
        </w:rPr>
        <w:t>73</w:t>
      </w:r>
      <w:r>
        <w:rPr>
          <w:rFonts w:ascii="Times New Roman" w:eastAsia="Times New Roman" w:hAnsi="Times New Roman" w:cs="Times New Roman"/>
          <w:i/>
          <w:iCs/>
          <w:color w:val="0E101A"/>
          <w:lang w:eastAsia="en-US" w:bidi="ar-SA"/>
        </w:rPr>
        <w:t>Br</w:t>
      </w:r>
      <w:r>
        <w:rPr>
          <w:rFonts w:ascii="Times New Roman" w:eastAsia="Times New Roman" w:hAnsi="Times New Roman" w:cs="Times New Roman"/>
          <w:color w:val="0E101A"/>
          <w:lang w:eastAsia="en-US" w:bidi="ar-SA"/>
        </w:rPr>
        <w:t xml:space="preserve"> fusion evaporation reaction with a beam energy of 90 MeV. The </w:t>
      </w:r>
      <w:proofErr w:type="spellStart"/>
      <w:r>
        <w:rPr>
          <w:rFonts w:ascii="Times New Roman" w:eastAsia="Times New Roman" w:hAnsi="Times New Roman" w:cs="Times New Roman"/>
          <w:color w:val="0E101A"/>
          <w:lang w:eastAsia="en-US" w:bidi="ar-SA"/>
        </w:rPr>
        <w:t>deexciting</w:t>
      </w:r>
      <w:proofErr w:type="spellEnd"/>
      <w:r>
        <w:rPr>
          <w:rFonts w:ascii="Times New Roman" w:eastAsia="Times New Roman" w:hAnsi="Times New Roman" w:cs="Times New Roman"/>
          <w:color w:val="0E101A"/>
          <w:lang w:eastAsia="en-US" w:bidi="ar-SA"/>
        </w:rPr>
        <w:t xml:space="preserve"> gamma rays were detected using the Indian National Gamma Array (INGA) facility at Inter-University Accelerator Center (IUAC), New Delhi [1]. </w:t>
      </w:r>
      <w:r>
        <w:rPr>
          <w:rFonts w:ascii="Times New Roman" w:hAnsi="Times New Roman"/>
          <w:color w:val="0E101A"/>
        </w:rPr>
        <w:t xml:space="preserve">The half-life </w:t>
      </w:r>
      <w:r>
        <w:rPr>
          <w:rFonts w:ascii="Times New Roman" w:hAnsi="Times New Roman"/>
          <w:i/>
          <w:iCs/>
          <w:color w:val="0E101A"/>
        </w:rPr>
        <w:t>τ</w:t>
      </w:r>
      <w:r>
        <w:rPr>
          <w:rFonts w:ascii="Times New Roman" w:hAnsi="Times New Roman"/>
          <w:i/>
          <w:iCs/>
          <w:color w:val="0E101A"/>
          <w:vertAlign w:val="subscript"/>
        </w:rPr>
        <w:t>1/2</w:t>
      </w:r>
      <w:r>
        <w:rPr>
          <w:rFonts w:ascii="Times New Roman" w:hAnsi="Times New Roman"/>
          <w:i/>
          <w:iCs/>
          <w:color w:val="0E101A"/>
        </w:rPr>
        <w:t xml:space="preserve"> = 52(2)</w:t>
      </w:r>
      <w:r>
        <w:rPr>
          <w:rFonts w:ascii="Times New Roman" w:hAnsi="Times New Roman"/>
          <w:color w:val="0E101A"/>
        </w:rPr>
        <w:t xml:space="preserve"> ns of isomeric </w:t>
      </w:r>
      <w:r>
        <w:rPr>
          <w:rFonts w:ascii="Times New Roman" w:hAnsi="Times New Roman"/>
          <w:i/>
          <w:iCs/>
          <w:color w:val="0E101A"/>
        </w:rPr>
        <w:t>9/2</w:t>
      </w:r>
      <w:r>
        <w:rPr>
          <w:rFonts w:ascii="Times New Roman" w:hAnsi="Times New Roman"/>
          <w:i/>
          <w:iCs/>
          <w:color w:val="0E101A"/>
          <w:vertAlign w:val="superscript"/>
        </w:rPr>
        <w:t>+</w:t>
      </w:r>
      <w:r>
        <w:rPr>
          <w:rFonts w:ascii="Times New Roman" w:hAnsi="Times New Roman"/>
          <w:color w:val="0E101A"/>
        </w:rPr>
        <w:t xml:space="preserve"> state is determined using the intensity variation method. This lifetime is used to determine the magnitude of monopole transition strength </w:t>
      </w:r>
      <w:r>
        <w:rPr>
          <w:rFonts w:ascii="CMU Serif" w:hAnsi="CMU Serif"/>
          <w:i/>
          <w:iCs/>
          <w:color w:val="0E101A"/>
        </w:rPr>
        <w:t>ρ</w:t>
      </w:r>
      <w:r>
        <w:rPr>
          <w:rFonts w:ascii="Times New Roman" w:hAnsi="Times New Roman"/>
          <w:i/>
          <w:iCs/>
          <w:color w:val="0E101A"/>
          <w:vertAlign w:val="superscript"/>
        </w:rPr>
        <w:t>2</w:t>
      </w:r>
      <w:r>
        <w:rPr>
          <w:rFonts w:ascii="Times New Roman" w:hAnsi="Times New Roman"/>
          <w:i/>
          <w:iCs/>
          <w:color w:val="0E101A"/>
        </w:rPr>
        <w:t>(E0)</w:t>
      </w:r>
      <w:r>
        <w:rPr>
          <w:rFonts w:ascii="Times New Roman" w:hAnsi="Times New Roman"/>
          <w:color w:val="0E101A"/>
        </w:rPr>
        <w:t>, which provides evidence for the shape coexistence at low spin states in odd ma</w:t>
      </w:r>
      <w:r>
        <w:rPr>
          <w:rFonts w:ascii="Times New Roman" w:hAnsi="Times New Roman"/>
          <w:color w:val="0E101A"/>
        </w:rPr>
        <w:t xml:space="preserve">ss </w:t>
      </w:r>
      <w:r>
        <w:rPr>
          <w:rFonts w:ascii="Times New Roman" w:hAnsi="Times New Roman"/>
          <w:i/>
          <w:iCs/>
          <w:color w:val="0E101A"/>
          <w:vertAlign w:val="superscript"/>
        </w:rPr>
        <w:t>73</w:t>
      </w:r>
      <w:r>
        <w:rPr>
          <w:rFonts w:ascii="Times New Roman" w:hAnsi="Times New Roman"/>
          <w:i/>
          <w:iCs/>
          <w:color w:val="0E101A"/>
        </w:rPr>
        <w:t>Br</w:t>
      </w:r>
      <w:r>
        <w:rPr>
          <w:rFonts w:ascii="Times New Roman" w:hAnsi="Times New Roman"/>
          <w:color w:val="0E101A"/>
        </w:rPr>
        <w:t xml:space="preserve"> nucl</w:t>
      </w:r>
      <w:bookmarkStart w:id="0" w:name="_GoBack"/>
      <w:bookmarkEnd w:id="0"/>
      <w:r>
        <w:rPr>
          <w:rFonts w:ascii="Times New Roman" w:hAnsi="Times New Roman"/>
          <w:color w:val="0E101A"/>
        </w:rPr>
        <w:t xml:space="preserve">eus. In addition, two new interconnecting enhanced </w:t>
      </w:r>
      <w:r>
        <w:rPr>
          <w:rFonts w:ascii="Times New Roman" w:hAnsi="Times New Roman"/>
          <w:i/>
          <w:iCs/>
          <w:color w:val="0E101A"/>
        </w:rPr>
        <w:t>E1</w:t>
      </w:r>
      <w:r>
        <w:rPr>
          <w:rFonts w:ascii="Times New Roman" w:hAnsi="Times New Roman"/>
          <w:color w:val="0E101A"/>
        </w:rPr>
        <w:t xml:space="preserve"> transitions between positive and negative parity </w:t>
      </w:r>
      <w:proofErr w:type="spellStart"/>
      <w:r>
        <w:rPr>
          <w:rFonts w:ascii="Times New Roman" w:hAnsi="Times New Roman"/>
          <w:color w:val="0E101A"/>
        </w:rPr>
        <w:t>yrast</w:t>
      </w:r>
      <w:proofErr w:type="spellEnd"/>
      <w:r>
        <w:rPr>
          <w:rFonts w:ascii="Times New Roman" w:hAnsi="Times New Roman"/>
          <w:color w:val="0E101A"/>
        </w:rPr>
        <w:t xml:space="preserve"> band have been added, which provides evidence for </w:t>
      </w:r>
      <w:proofErr w:type="spellStart"/>
      <w:r>
        <w:rPr>
          <w:rFonts w:ascii="Times New Roman" w:hAnsi="Times New Roman"/>
          <w:color w:val="0E101A"/>
        </w:rPr>
        <w:t>octupole</w:t>
      </w:r>
      <w:proofErr w:type="spellEnd"/>
      <w:r>
        <w:rPr>
          <w:rFonts w:ascii="Times New Roman" w:hAnsi="Times New Roman"/>
          <w:color w:val="0E101A"/>
        </w:rPr>
        <w:t xml:space="preserve"> correlation in ground state configuration. The lifetime of high spin states </w:t>
      </w:r>
      <w:r>
        <w:rPr>
          <w:rFonts w:ascii="Times New Roman" w:hAnsi="Times New Roman"/>
          <w:color w:val="0E101A"/>
        </w:rPr>
        <w:t>has also been measured using the Doppler-shift attenuation method (DSAM) for both positive</w:t>
      </w:r>
      <w:r>
        <w:rPr>
          <w:rFonts w:ascii="Times New Roman" w:hAnsi="Times New Roman"/>
          <w:color w:val="0E101A"/>
        </w:rPr>
        <w:t xml:space="preserve"> and negative parity bands in </w:t>
      </w:r>
      <w:r w:rsidRPr="00626865">
        <w:rPr>
          <w:rFonts w:ascii="Times New Roman" w:hAnsi="Times New Roman"/>
          <w:i/>
          <w:color w:val="0E101A"/>
          <w:vertAlign w:val="superscript"/>
        </w:rPr>
        <w:t>73</w:t>
      </w:r>
      <w:r w:rsidRPr="00626865">
        <w:rPr>
          <w:rFonts w:ascii="Times New Roman" w:hAnsi="Times New Roman"/>
          <w:i/>
          <w:color w:val="0E101A"/>
        </w:rPr>
        <w:t>Br</w:t>
      </w:r>
      <w:r>
        <w:rPr>
          <w:rFonts w:ascii="Times New Roman" w:hAnsi="Times New Roman"/>
          <w:color w:val="0E101A"/>
        </w:rPr>
        <w:t xml:space="preserve"> nucleus. The observed transitional quadrupole moments </w:t>
      </w:r>
      <w:proofErr w:type="gramStart"/>
      <w:r>
        <w:rPr>
          <w:rFonts w:ascii="Times New Roman" w:hAnsi="Times New Roman"/>
          <w:color w:val="0E101A"/>
        </w:rPr>
        <w:t>decreases</w:t>
      </w:r>
      <w:proofErr w:type="gramEnd"/>
      <w:r>
        <w:rPr>
          <w:rFonts w:ascii="Times New Roman" w:hAnsi="Times New Roman"/>
          <w:color w:val="0E101A"/>
        </w:rPr>
        <w:t xml:space="preserve"> with increasing spin for these bands. The experimental observations </w:t>
      </w:r>
      <w:r>
        <w:rPr>
          <w:rFonts w:ascii="Times New Roman" w:hAnsi="Times New Roman"/>
          <w:color w:val="0E101A"/>
        </w:rPr>
        <w:t>have been interpreted in terms of the cranked Nilsson-</w:t>
      </w:r>
      <w:proofErr w:type="spellStart"/>
      <w:r>
        <w:rPr>
          <w:rFonts w:ascii="Times New Roman" w:hAnsi="Times New Roman"/>
          <w:color w:val="0E101A"/>
        </w:rPr>
        <w:t>Strutinsky</w:t>
      </w:r>
      <w:proofErr w:type="spellEnd"/>
      <w:r>
        <w:rPr>
          <w:rFonts w:ascii="Times New Roman" w:hAnsi="Times New Roman"/>
          <w:color w:val="0E101A"/>
        </w:rPr>
        <w:t xml:space="preserve"> model and total </w:t>
      </w:r>
      <w:proofErr w:type="spellStart"/>
      <w:r>
        <w:rPr>
          <w:rFonts w:ascii="Times New Roman" w:hAnsi="Times New Roman"/>
          <w:color w:val="0E101A"/>
        </w:rPr>
        <w:t>Routhian</w:t>
      </w:r>
      <w:proofErr w:type="spellEnd"/>
      <w:r>
        <w:rPr>
          <w:rFonts w:ascii="Times New Roman" w:hAnsi="Times New Roman"/>
          <w:color w:val="0E101A"/>
        </w:rPr>
        <w:t xml:space="preserve"> surface calculations, providing evidence for band termination at higher spin [2].</w:t>
      </w:r>
    </w:p>
    <w:p w:rsidR="00FD2072" w:rsidRDefault="00FD2072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FD2072" w:rsidRDefault="00626865">
      <w:pPr>
        <w:pStyle w:val="zakmain"/>
        <w:spacing w:line="360" w:lineRule="auto"/>
        <w:jc w:val="left"/>
      </w:pPr>
      <w:r>
        <w:rPr>
          <w:b/>
          <w:bCs/>
          <w:sz w:val="24"/>
          <w:szCs w:val="24"/>
        </w:rPr>
        <w:t>REFERENCES</w:t>
      </w:r>
    </w:p>
    <w:p w:rsidR="00FD2072" w:rsidRDefault="00626865">
      <w:pPr>
        <w:pStyle w:val="zakmain"/>
        <w:spacing w:line="360" w:lineRule="auto"/>
        <w:jc w:val="left"/>
      </w:pPr>
      <w:r>
        <w:rPr>
          <w:rFonts w:eastAsia="CMR12"/>
          <w:b/>
          <w:bCs/>
          <w:sz w:val="24"/>
          <w:szCs w:val="24"/>
        </w:rPr>
        <w:tab/>
      </w:r>
      <w:r>
        <w:rPr>
          <w:rFonts w:eastAsia="CMR12"/>
          <w:sz w:val="24"/>
          <w:szCs w:val="24"/>
        </w:rPr>
        <w:t xml:space="preserve">[1] </w:t>
      </w:r>
      <w:r>
        <w:rPr>
          <w:rFonts w:eastAsia="CMR12"/>
          <w:sz w:val="24"/>
          <w:szCs w:val="24"/>
        </w:rPr>
        <w:t xml:space="preserve">S. </w:t>
      </w:r>
      <w:proofErr w:type="spellStart"/>
      <w:r>
        <w:rPr>
          <w:rFonts w:eastAsia="CMR12"/>
          <w:sz w:val="24"/>
          <w:szCs w:val="24"/>
        </w:rPr>
        <w:t>Muralithar</w:t>
      </w:r>
      <w:proofErr w:type="spellEnd"/>
      <w:r>
        <w:rPr>
          <w:rFonts w:eastAsia="CMR12"/>
          <w:sz w:val="24"/>
          <w:szCs w:val="24"/>
        </w:rPr>
        <w:t xml:space="preserve"> et al., </w:t>
      </w:r>
      <w:proofErr w:type="spellStart"/>
      <w:r>
        <w:rPr>
          <w:rFonts w:eastAsia="CMR12"/>
          <w:sz w:val="24"/>
          <w:szCs w:val="24"/>
        </w:rPr>
        <w:t>Nucl</w:t>
      </w:r>
      <w:proofErr w:type="spellEnd"/>
      <w:r>
        <w:rPr>
          <w:rFonts w:eastAsia="CMR12"/>
          <w:sz w:val="24"/>
          <w:szCs w:val="24"/>
        </w:rPr>
        <w:t xml:space="preserve">. </w:t>
      </w:r>
      <w:proofErr w:type="spellStart"/>
      <w:r>
        <w:rPr>
          <w:rFonts w:eastAsia="CMR12"/>
          <w:sz w:val="24"/>
          <w:szCs w:val="24"/>
        </w:rPr>
        <w:t>Instrum</w:t>
      </w:r>
      <w:proofErr w:type="spellEnd"/>
      <w:r>
        <w:rPr>
          <w:rFonts w:eastAsia="CMR12"/>
          <w:sz w:val="24"/>
          <w:szCs w:val="24"/>
        </w:rPr>
        <w:t xml:space="preserve">. Methods Phys. </w:t>
      </w:r>
      <w:proofErr w:type="spellStart"/>
      <w:r>
        <w:rPr>
          <w:rFonts w:eastAsia="CMR12"/>
          <w:sz w:val="24"/>
          <w:szCs w:val="24"/>
        </w:rPr>
        <w:t>Res.Sect</w:t>
      </w:r>
      <w:proofErr w:type="spellEnd"/>
      <w:r>
        <w:rPr>
          <w:rFonts w:eastAsia="CMR12"/>
          <w:sz w:val="24"/>
          <w:szCs w:val="24"/>
        </w:rPr>
        <w:t xml:space="preserve">. A </w:t>
      </w:r>
      <w:r>
        <w:rPr>
          <w:rFonts w:eastAsia="CMR12"/>
          <w:b/>
          <w:bCs/>
          <w:sz w:val="24"/>
          <w:szCs w:val="24"/>
        </w:rPr>
        <w:t>622</w:t>
      </w:r>
      <w:r>
        <w:rPr>
          <w:rFonts w:eastAsia="CMR12"/>
          <w:sz w:val="24"/>
          <w:szCs w:val="24"/>
        </w:rPr>
        <w:t>,</w:t>
      </w:r>
      <w:r>
        <w:rPr>
          <w:rFonts w:eastAsia="CMR12"/>
          <w:sz w:val="24"/>
          <w:szCs w:val="24"/>
        </w:rPr>
        <w:t xml:space="preserve"> 281 (2010).</w:t>
      </w:r>
    </w:p>
    <w:p w:rsidR="00FD2072" w:rsidRDefault="00626865">
      <w:pPr>
        <w:spacing w:before="171" w:after="171" w:line="360" w:lineRule="auto"/>
        <w:ind w:left="720"/>
        <w:jc w:val="both"/>
      </w:pPr>
      <w:r>
        <w:rPr>
          <w:rFonts w:ascii="Times New Roman" w:eastAsia="CMR12" w:hAnsi="Times New Roman" w:cs="Times New Roman"/>
        </w:rPr>
        <w:t xml:space="preserve">[2] S. Bhattacharya et al., Phys. Rev. C </w:t>
      </w:r>
      <w:r>
        <w:rPr>
          <w:rFonts w:ascii="Times New Roman" w:eastAsia="CMR12" w:hAnsi="Times New Roman" w:cs="Times New Roman"/>
          <w:b/>
          <w:bCs/>
        </w:rPr>
        <w:t>100</w:t>
      </w:r>
      <w:r>
        <w:rPr>
          <w:rFonts w:ascii="Times New Roman" w:eastAsia="CMR12" w:hAnsi="Times New Roman" w:cs="Times New Roman"/>
        </w:rPr>
        <w:t xml:space="preserve"> 014315 (2019).</w:t>
      </w:r>
    </w:p>
    <w:sectPr w:rsidR="00FD2072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MR12">
    <w:panose1 w:val="00000000000000000000"/>
    <w:charset w:val="00"/>
    <w:family w:val="roman"/>
    <w:notTrueType/>
    <w:pitch w:val="default"/>
  </w:font>
  <w:font w:name="CMU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72"/>
    <w:rsid w:val="00626865"/>
    <w:rsid w:val="00BB37AC"/>
    <w:rsid w:val="00F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640C"/>
  <w15:docId w15:val="{FF38FA82-5B8A-433E-AA37-51EE954B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zakmain">
    <w:name w:val="zak_main"/>
    <w:basedOn w:val="Normal"/>
    <w:qFormat/>
    <w:pPr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reformattedText">
    <w:name w:val="Preformatted Text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tarkeshwar</dc:creator>
  <dc:description/>
  <cp:lastModifiedBy>np</cp:lastModifiedBy>
  <cp:revision>24</cp:revision>
  <dcterms:created xsi:type="dcterms:W3CDTF">2019-09-11T10:18:00Z</dcterms:created>
  <dcterms:modified xsi:type="dcterms:W3CDTF">2021-06-24T03:36:00Z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